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beforeAutospacing="0" w:after="0" w:afterAutospacing="0" w:line="360" w:lineRule="auto"/>
        <w:rPr>
          <w:rFonts w:ascii="宋体" w:hAnsi="宋体" w:cs="宋体"/>
        </w:rPr>
      </w:pPr>
      <w:bookmarkStart w:id="0" w:name="_GoBack"/>
      <w:bookmarkEnd w:id="0"/>
      <w:r>
        <w:rPr>
          <w:rFonts w:hint="eastAsia" w:ascii="宋体" w:hAnsi="宋体" w:cs="宋体"/>
          <w:lang w:val="en-US" w:eastAsia="zh-CN"/>
        </w:rPr>
        <w:t>交易</w:t>
      </w:r>
      <w:r>
        <w:rPr>
          <w:rFonts w:ascii="宋体" w:hAnsi="宋体" w:cs="宋体"/>
        </w:rPr>
        <w:t>不利因素重要信息提示</w:t>
      </w:r>
    </w:p>
    <w:p>
      <w:pPr>
        <w:pStyle w:val="5"/>
        <w:spacing w:before="0" w:beforeAutospacing="0" w:after="0" w:afterAutospacing="0" w:line="360" w:lineRule="auto"/>
        <w:ind w:firstLine="480" w:firstLineChars="200"/>
        <w:rPr>
          <w:rFonts w:ascii="宋体" w:hAnsi="宋体" w:cs="宋体"/>
          <w:color w:val="000000"/>
        </w:rPr>
      </w:pPr>
      <w:r>
        <w:rPr>
          <w:rFonts w:ascii="宋体" w:hAnsi="宋体" w:cs="宋体"/>
          <w:color w:val="000000"/>
        </w:rPr>
        <w:t>为帮助买受人慎重</w:t>
      </w:r>
      <w:r>
        <w:rPr>
          <w:rFonts w:hint="eastAsia" w:ascii="宋体" w:hAnsi="宋体" w:cs="宋体"/>
          <w:color w:val="000000"/>
          <w:lang w:val="en-US" w:eastAsia="zh-CN"/>
        </w:rPr>
        <w:t>参与并签订协议</w:t>
      </w:r>
      <w:r>
        <w:rPr>
          <w:rFonts w:ascii="宋体" w:hAnsi="宋体" w:cs="宋体"/>
          <w:color w:val="000000"/>
        </w:rPr>
        <w:t>，现提示</w:t>
      </w:r>
      <w:r>
        <w:rPr>
          <w:rFonts w:hint="eastAsia" w:ascii="宋体" w:hAnsi="宋体" w:cs="宋体"/>
          <w:color w:val="000000"/>
          <w:lang w:val="en-US" w:eastAsia="zh-CN"/>
        </w:rPr>
        <w:t>买受</w:t>
      </w:r>
      <w:r>
        <w:rPr>
          <w:rFonts w:ascii="宋体" w:hAnsi="宋体" w:cs="宋体"/>
          <w:color w:val="000000"/>
        </w:rPr>
        <w:t>人在</w:t>
      </w:r>
      <w:r>
        <w:rPr>
          <w:rFonts w:hint="eastAsia" w:ascii="宋体" w:hAnsi="宋体" w:cs="宋体"/>
          <w:color w:val="000000"/>
          <w:lang w:val="en-US" w:eastAsia="zh-CN"/>
        </w:rPr>
        <w:t>参与本次交易、</w:t>
      </w:r>
      <w:r>
        <w:rPr>
          <w:rFonts w:ascii="宋体" w:hAnsi="宋体" w:cs="宋体"/>
          <w:color w:val="000000"/>
        </w:rPr>
        <w:t>签署法律文件前特别注意以下事项：</w:t>
      </w:r>
    </w:p>
    <w:p>
      <w:pPr>
        <w:pStyle w:val="5"/>
        <w:spacing w:before="0" w:beforeAutospacing="0" w:after="0" w:afterAutospacing="0" w:line="360" w:lineRule="auto"/>
        <w:ind w:firstLine="480" w:firstLineChars="200"/>
        <w:rPr>
          <w:rFonts w:hint="default" w:ascii="宋体" w:hAnsi="宋体" w:eastAsia="宋体" w:cs="宋体"/>
          <w:color w:val="000000"/>
          <w:lang w:val="en-US" w:eastAsia="zh-CN"/>
        </w:rPr>
      </w:pPr>
      <w:r>
        <w:rPr>
          <w:rFonts w:hint="eastAsia" w:ascii="宋体" w:hAnsi="宋体" w:cs="宋体"/>
          <w:color w:val="000000"/>
          <w:lang w:val="en-US" w:eastAsia="zh-CN"/>
        </w:rPr>
        <w:t>一、关于股权（重庆双城房地产开发有限公司）</w:t>
      </w:r>
    </w:p>
    <w:p>
      <w:pPr>
        <w:pStyle w:val="5"/>
        <w:numPr>
          <w:ilvl w:val="0"/>
          <w:numId w:val="1"/>
        </w:numPr>
        <w:spacing w:before="0" w:beforeAutospacing="0" w:after="0" w:afterAutospacing="0" w:line="360" w:lineRule="auto"/>
        <w:ind w:left="425" w:leftChars="0" w:hanging="425" w:firstLineChars="0"/>
        <w:rPr>
          <w:rFonts w:hint="eastAsia" w:ascii="宋体" w:hAnsi="宋体" w:cs="宋体"/>
          <w:color w:val="000000"/>
          <w:lang w:val="en-US" w:eastAsia="zh-CN"/>
        </w:rPr>
      </w:pPr>
      <w:r>
        <w:rPr>
          <w:rFonts w:hint="eastAsia" w:ascii="宋体" w:hAnsi="宋体" w:cs="宋体"/>
          <w:color w:val="000000"/>
          <w:lang w:val="en-US" w:eastAsia="zh-CN"/>
        </w:rPr>
        <w:t>重庆双城房地产开发有限公司与重庆双远实业（集团）有限公司系经法院裁定合并破产重整，截至本次交易时，破产管理人已出具《执行监督报告》，但尚未收到法院出具的重整程序终结裁定书，可能存在尚未处理完毕的债务；可能存在未按规定申报但受法律保护的债权在《重整计划》执行完毕后，向重庆双城房地产开发有限公司主张债权；本次交易完成后，买受人按照《重整计划》同类债权向这些债权人承担责任。</w:t>
      </w:r>
    </w:p>
    <w:p>
      <w:pPr>
        <w:pStyle w:val="5"/>
        <w:numPr>
          <w:ilvl w:val="0"/>
          <w:numId w:val="1"/>
        </w:numPr>
        <w:spacing w:before="0" w:beforeAutospacing="0" w:after="0" w:afterAutospacing="0" w:line="360" w:lineRule="auto"/>
        <w:ind w:left="425" w:leftChars="0" w:hanging="425" w:firstLineChars="0"/>
        <w:rPr>
          <w:rFonts w:hint="eastAsia" w:ascii="宋体" w:hAnsi="宋体" w:cs="宋体"/>
          <w:color w:val="000000"/>
          <w:lang w:val="en-US" w:eastAsia="zh-CN"/>
        </w:rPr>
      </w:pPr>
      <w:r>
        <w:rPr>
          <w:rFonts w:hint="eastAsia" w:ascii="宋体" w:hAnsi="宋体" w:cs="宋体"/>
          <w:color w:val="000000"/>
          <w:lang w:val="en-US" w:eastAsia="zh-CN"/>
        </w:rPr>
        <w:t>重庆双城房地产开发有限公司的会计账簿存在缺失，其具体情况以重整时破产管理人搜集的会计账簿为准。</w:t>
      </w:r>
    </w:p>
    <w:p>
      <w:pPr>
        <w:pStyle w:val="5"/>
        <w:numPr>
          <w:ilvl w:val="0"/>
          <w:numId w:val="1"/>
        </w:numPr>
        <w:spacing w:before="0" w:beforeAutospacing="0" w:after="0" w:afterAutospacing="0" w:line="360" w:lineRule="auto"/>
        <w:ind w:left="425" w:leftChars="0" w:hanging="425" w:firstLineChars="0"/>
        <w:rPr>
          <w:rFonts w:hint="eastAsia" w:ascii="宋体" w:hAnsi="宋体" w:cs="宋体"/>
          <w:color w:val="000000"/>
          <w:lang w:val="en-US" w:eastAsia="zh-CN"/>
        </w:rPr>
      </w:pPr>
      <w:r>
        <w:rPr>
          <w:rFonts w:hint="eastAsia" w:ascii="宋体" w:hAnsi="宋体" w:cs="宋体"/>
          <w:color w:val="000000"/>
          <w:lang w:val="en-US" w:eastAsia="zh-CN"/>
        </w:rPr>
        <w:t>重庆双城房地产开发有限公司存量资产的交接均按现状交接，买受人签署交接单即为确认无误。</w:t>
      </w:r>
    </w:p>
    <w:p>
      <w:pPr>
        <w:pStyle w:val="5"/>
        <w:numPr>
          <w:ilvl w:val="0"/>
          <w:numId w:val="1"/>
        </w:numPr>
        <w:spacing w:before="0" w:beforeAutospacing="0" w:after="0" w:afterAutospacing="0" w:line="360" w:lineRule="auto"/>
        <w:ind w:left="425" w:leftChars="0" w:hanging="425" w:firstLineChars="0"/>
        <w:rPr>
          <w:rFonts w:hint="eastAsia" w:ascii="宋体" w:hAnsi="宋体" w:cs="宋体"/>
          <w:color w:val="000000"/>
          <w:lang w:val="en-US" w:eastAsia="zh-CN"/>
        </w:rPr>
      </w:pPr>
      <w:r>
        <w:rPr>
          <w:rFonts w:hint="eastAsia" w:ascii="宋体" w:hAnsi="宋体" w:cs="宋体"/>
          <w:color w:val="000000"/>
          <w:lang w:val="en-US" w:eastAsia="zh-CN"/>
        </w:rPr>
        <w:t>重庆双城房地产开发有限公司剩余未开发土地，根据出让合同可能需要承担违约金。</w:t>
      </w:r>
    </w:p>
    <w:p>
      <w:pPr>
        <w:pStyle w:val="5"/>
        <w:numPr>
          <w:ilvl w:val="0"/>
          <w:numId w:val="1"/>
        </w:numPr>
        <w:spacing w:before="0" w:beforeAutospacing="0" w:after="0" w:afterAutospacing="0" w:line="360" w:lineRule="auto"/>
        <w:ind w:left="425" w:leftChars="0" w:hanging="425" w:firstLineChars="0"/>
        <w:rPr>
          <w:rFonts w:hint="eastAsia" w:ascii="宋体" w:hAnsi="宋体" w:cs="宋体"/>
          <w:color w:val="000000"/>
          <w:lang w:val="en-US" w:eastAsia="zh-CN"/>
        </w:rPr>
      </w:pPr>
      <w:r>
        <w:rPr>
          <w:rFonts w:hint="eastAsia" w:ascii="宋体" w:hAnsi="宋体" w:cs="宋体"/>
          <w:color w:val="000000"/>
          <w:lang w:val="en-US" w:eastAsia="zh-CN"/>
        </w:rPr>
        <w:t>重庆双城房地产开发有限公司剩余土地开发需要获得的</w:t>
      </w:r>
      <w:r>
        <w:rPr>
          <w:rFonts w:hint="eastAsia" w:ascii="宋体" w:hAnsi="宋体" w:cs="宋体"/>
          <w:color w:val="000000"/>
        </w:rPr>
        <w:t>建设用地规划许可证</w:t>
      </w:r>
      <w:r>
        <w:rPr>
          <w:rFonts w:hint="eastAsia" w:ascii="宋体" w:hAnsi="宋体" w:cs="宋体"/>
          <w:color w:val="000000"/>
          <w:lang w:eastAsia="zh-CN"/>
        </w:rPr>
        <w:t>、</w:t>
      </w:r>
      <w:r>
        <w:rPr>
          <w:rFonts w:hint="eastAsia" w:ascii="宋体" w:hAnsi="宋体" w:cs="宋体"/>
          <w:color w:val="000000"/>
        </w:rPr>
        <w:t>建设工程规划许可证</w:t>
      </w:r>
      <w:r>
        <w:rPr>
          <w:rFonts w:hint="eastAsia" w:ascii="宋体" w:hAnsi="宋体" w:cs="宋体"/>
          <w:color w:val="000000"/>
          <w:lang w:eastAsia="zh-CN"/>
        </w:rPr>
        <w:t>、</w:t>
      </w:r>
      <w:r>
        <w:rPr>
          <w:rFonts w:hint="eastAsia" w:ascii="宋体" w:hAnsi="宋体" w:cs="宋体"/>
          <w:color w:val="000000"/>
        </w:rPr>
        <w:t>工程施工许可证</w:t>
      </w:r>
      <w:r>
        <w:rPr>
          <w:rFonts w:hint="eastAsia" w:ascii="宋体" w:hAnsi="宋体" w:cs="宋体"/>
          <w:color w:val="000000"/>
          <w:lang w:val="en-US" w:eastAsia="zh-CN"/>
        </w:rPr>
        <w:t>均已过期。</w:t>
      </w:r>
    </w:p>
    <w:p>
      <w:pPr>
        <w:pStyle w:val="5"/>
        <w:numPr>
          <w:ilvl w:val="0"/>
          <w:numId w:val="1"/>
        </w:numPr>
        <w:spacing w:before="0" w:beforeAutospacing="0" w:after="0" w:afterAutospacing="0" w:line="360" w:lineRule="auto"/>
        <w:ind w:left="425" w:leftChars="0" w:hanging="425" w:firstLineChars="0"/>
        <w:rPr>
          <w:rFonts w:hint="eastAsia" w:ascii="宋体" w:hAnsi="宋体" w:cs="宋体"/>
          <w:color w:val="000000"/>
          <w:lang w:val="en-US" w:eastAsia="zh-CN"/>
        </w:rPr>
      </w:pPr>
      <w:r>
        <w:rPr>
          <w:rFonts w:hint="eastAsia" w:ascii="宋体" w:hAnsi="宋体" w:cs="宋体"/>
          <w:color w:val="000000"/>
          <w:lang w:val="en-US" w:eastAsia="zh-CN"/>
        </w:rPr>
        <w:t>重庆双城房地产开发有限公司剩余未开发土地上有市民种植蔬菜，买受人已实地查勘知晓。</w:t>
      </w:r>
    </w:p>
    <w:p>
      <w:pPr>
        <w:pStyle w:val="5"/>
        <w:numPr>
          <w:ilvl w:val="0"/>
          <w:numId w:val="1"/>
        </w:numPr>
        <w:spacing w:before="0" w:beforeAutospacing="0" w:after="0" w:afterAutospacing="0" w:line="360" w:lineRule="auto"/>
        <w:ind w:left="425" w:leftChars="0" w:hanging="425" w:firstLineChars="0"/>
        <w:rPr>
          <w:rFonts w:hint="eastAsia" w:ascii="宋体" w:hAnsi="宋体" w:cs="宋体"/>
          <w:color w:val="000000"/>
          <w:lang w:val="en-US" w:eastAsia="zh-CN"/>
        </w:rPr>
      </w:pPr>
      <w:r>
        <w:rPr>
          <w:rFonts w:hint="eastAsia" w:ascii="宋体" w:hAnsi="宋体" w:cs="宋体"/>
          <w:color w:val="000000"/>
          <w:lang w:val="en-US" w:eastAsia="zh-CN"/>
        </w:rPr>
        <w:t>重庆双城房地产开发有限公司存量房产、车位中存在18套（个）已收取购房人款项的情形。</w:t>
      </w:r>
    </w:p>
    <w:p>
      <w:pPr>
        <w:pStyle w:val="5"/>
        <w:numPr>
          <w:ilvl w:val="0"/>
          <w:numId w:val="1"/>
        </w:numPr>
        <w:spacing w:before="0" w:beforeAutospacing="0" w:after="0" w:afterAutospacing="0" w:line="360" w:lineRule="auto"/>
        <w:ind w:left="425" w:leftChars="0" w:hanging="425" w:firstLineChars="0"/>
        <w:rPr>
          <w:rFonts w:hint="eastAsia" w:ascii="宋体" w:hAnsi="宋体" w:cs="宋体"/>
          <w:color w:val="000000"/>
          <w:lang w:val="en-US" w:eastAsia="zh-CN"/>
        </w:rPr>
      </w:pPr>
      <w:r>
        <w:rPr>
          <w:rFonts w:hint="eastAsia" w:ascii="宋体" w:hAnsi="宋体" w:cs="宋体"/>
          <w:color w:val="000000"/>
          <w:lang w:val="en-US" w:eastAsia="zh-CN"/>
        </w:rPr>
        <w:t>重庆双城房地产开发有限公司存在可能需要支付或退还购房者的“代收代付契税”的情形。</w:t>
      </w:r>
    </w:p>
    <w:p>
      <w:pPr>
        <w:pStyle w:val="5"/>
        <w:numPr>
          <w:ilvl w:val="0"/>
          <w:numId w:val="1"/>
        </w:numPr>
        <w:spacing w:before="0" w:beforeAutospacing="0" w:after="0" w:afterAutospacing="0" w:line="360" w:lineRule="auto"/>
        <w:ind w:left="425" w:leftChars="0" w:hanging="425" w:firstLineChars="0"/>
        <w:rPr>
          <w:rFonts w:hint="eastAsia" w:ascii="宋体" w:hAnsi="宋体" w:cs="宋体"/>
          <w:color w:val="000000"/>
          <w:lang w:val="en-US" w:eastAsia="zh-CN"/>
        </w:rPr>
      </w:pPr>
      <w:r>
        <w:rPr>
          <w:rFonts w:hint="eastAsia" w:ascii="宋体" w:hAnsi="宋体" w:cs="宋体"/>
          <w:color w:val="000000"/>
          <w:lang w:val="en-US" w:eastAsia="zh-CN"/>
        </w:rPr>
        <w:t>存量资产车位编号为C264、C265号的车位尚未办理产权证。</w:t>
      </w:r>
    </w:p>
    <w:p>
      <w:pPr>
        <w:pStyle w:val="5"/>
        <w:numPr>
          <w:ilvl w:val="0"/>
          <w:numId w:val="1"/>
        </w:numPr>
        <w:spacing w:before="0" w:beforeAutospacing="0" w:after="0" w:afterAutospacing="0" w:line="360" w:lineRule="auto"/>
        <w:ind w:left="425" w:leftChars="0" w:hanging="425" w:firstLineChars="0"/>
        <w:rPr>
          <w:rFonts w:hint="default" w:ascii="宋体" w:hAnsi="宋体" w:cs="宋体"/>
          <w:color w:val="000000"/>
          <w:lang w:val="en-US" w:eastAsia="zh-CN"/>
        </w:rPr>
      </w:pPr>
      <w:r>
        <w:rPr>
          <w:rFonts w:hint="eastAsia" w:ascii="宋体" w:hAnsi="宋体" w:cs="宋体"/>
          <w:color w:val="000000"/>
          <w:lang w:val="en-US" w:eastAsia="zh-CN"/>
        </w:rPr>
        <w:t>重庆双城房地产开发有限公司开发项目——凤凰郡房屋存在产权证坐落与实际门牌不一致，买受人需自行进行实地查勘，确认无误。</w:t>
      </w:r>
    </w:p>
    <w:p>
      <w:pPr>
        <w:pStyle w:val="5"/>
        <w:numPr>
          <w:ilvl w:val="0"/>
          <w:numId w:val="1"/>
        </w:numPr>
        <w:spacing w:before="0" w:beforeAutospacing="0" w:after="0" w:afterAutospacing="0" w:line="360" w:lineRule="auto"/>
        <w:ind w:left="425" w:leftChars="0" w:hanging="425" w:firstLineChars="0"/>
        <w:rPr>
          <w:rFonts w:hint="default" w:ascii="宋体" w:hAnsi="宋体" w:cs="宋体"/>
          <w:color w:val="000000"/>
          <w:lang w:val="en-US" w:eastAsia="zh-CN"/>
        </w:rPr>
      </w:pPr>
      <w:r>
        <w:rPr>
          <w:rFonts w:hint="eastAsia" w:ascii="宋体" w:hAnsi="宋体" w:cs="宋体"/>
          <w:color w:val="000000"/>
          <w:lang w:val="en-US" w:eastAsia="zh-CN"/>
        </w:rPr>
        <w:t>《股权及债权转让协议》签署时，重庆双城房地产开发有限公司名下位于铜梁的土地尚存在抵押。本次公开竞价处置成交价款偿还芜湖华融资本创荣投资中心（有限合伙）债权后由芜湖华融资本创荣投资中心（有限合伙）解押。</w:t>
      </w:r>
    </w:p>
    <w:p>
      <w:pPr>
        <w:pStyle w:val="5"/>
        <w:numPr>
          <w:ilvl w:val="0"/>
          <w:numId w:val="1"/>
        </w:numPr>
        <w:spacing w:before="0" w:beforeAutospacing="0" w:after="0" w:afterAutospacing="0" w:line="360" w:lineRule="auto"/>
        <w:ind w:left="425" w:leftChars="0" w:hanging="425" w:firstLineChars="0"/>
        <w:rPr>
          <w:rFonts w:hint="default" w:ascii="宋体" w:hAnsi="宋体" w:cs="宋体"/>
          <w:color w:val="000000"/>
          <w:lang w:val="en-US" w:eastAsia="zh-CN"/>
        </w:rPr>
      </w:pPr>
      <w:r>
        <w:rPr>
          <w:rFonts w:hint="eastAsia" w:ascii="宋体" w:hAnsi="宋体" w:cs="宋体"/>
          <w:color w:val="000000"/>
          <w:lang w:val="en-US" w:eastAsia="zh-CN"/>
        </w:rPr>
        <w:t>重庆双城房地产开发有限公司参保明细中尚存在“暂停缴费”及“终止缴费”人员。</w:t>
      </w:r>
    </w:p>
    <w:p>
      <w:pPr>
        <w:pStyle w:val="5"/>
        <w:numPr>
          <w:ilvl w:val="0"/>
          <w:numId w:val="1"/>
        </w:numPr>
        <w:spacing w:before="0" w:beforeAutospacing="0" w:after="0" w:afterAutospacing="0" w:line="360" w:lineRule="auto"/>
        <w:ind w:left="425" w:leftChars="0" w:hanging="425"/>
        <w:rPr>
          <w:rFonts w:hint="eastAsia" w:ascii="宋体" w:hAnsi="宋体" w:cs="宋体"/>
          <w:color w:val="000000"/>
          <w:lang w:val="en-US" w:eastAsia="zh-CN"/>
        </w:rPr>
      </w:pPr>
      <w:r>
        <w:rPr>
          <w:rFonts w:hint="eastAsia" w:ascii="宋体" w:hAnsi="宋体" w:cs="宋体"/>
          <w:color w:val="000000"/>
          <w:lang w:val="en-US" w:eastAsia="zh-CN"/>
        </w:rPr>
        <w:t>重庆双城房地产开发有限公司已进入执行的案件可能存在执行款项不能收回的情况；重庆双城房地产开发有限公司可能存在潜在涉诉的情形。</w:t>
      </w:r>
    </w:p>
    <w:p>
      <w:pPr>
        <w:pStyle w:val="5"/>
        <w:numPr>
          <w:ilvl w:val="0"/>
          <w:numId w:val="1"/>
        </w:numPr>
        <w:spacing w:before="0" w:beforeAutospacing="0" w:after="0" w:afterAutospacing="0" w:line="360" w:lineRule="auto"/>
        <w:ind w:left="425" w:leftChars="0" w:hanging="425"/>
        <w:rPr>
          <w:rFonts w:hint="default" w:ascii="宋体" w:hAnsi="宋体" w:cs="宋体"/>
          <w:color w:val="000000"/>
          <w:lang w:val="en-US" w:eastAsia="zh-CN"/>
        </w:rPr>
      </w:pPr>
      <w:r>
        <w:rPr>
          <w:rFonts w:hint="eastAsia" w:ascii="宋体" w:hAnsi="宋体" w:cs="宋体"/>
          <w:color w:val="000000"/>
          <w:lang w:val="en-US" w:eastAsia="zh-CN"/>
        </w:rPr>
        <w:t>截至2025年3月31日，《股权及债权转让协议》需缴纳的土增税预计为6,217,806.45元，最终以土增税清算申报时税务部门核定金额为准。</w:t>
      </w:r>
    </w:p>
    <w:p>
      <w:pPr>
        <w:pStyle w:val="5"/>
        <w:numPr>
          <w:ilvl w:val="0"/>
          <w:numId w:val="1"/>
        </w:numPr>
        <w:spacing w:before="0" w:beforeAutospacing="0" w:after="0" w:afterAutospacing="0" w:line="360" w:lineRule="auto"/>
        <w:ind w:left="425" w:leftChars="0" w:hanging="425"/>
        <w:rPr>
          <w:rFonts w:hint="default" w:ascii="宋体" w:hAnsi="宋体" w:cs="宋体"/>
          <w:color w:val="000000"/>
          <w:lang w:val="en-US" w:eastAsia="zh-CN"/>
        </w:rPr>
      </w:pPr>
      <w:r>
        <w:rPr>
          <w:rFonts w:hint="eastAsia" w:ascii="宋体" w:hAnsi="宋体" w:cs="宋体"/>
          <w:color w:val="000000"/>
          <w:lang w:val="en-US" w:eastAsia="zh-CN"/>
        </w:rPr>
        <w:t>重庆双城房地产开发有限公司为存续经营主体，交易基准日（不含该日）至交割完成之日（含该日）即过渡期内，双远公司管理、处置和维护重庆双城房地产开发有限公司（即重庆双城房地产开发有限公司经营行为）将产生相关费用，重庆双城房地产开发有限公司交割完成之日货币资金将少于基准日货币资金</w:t>
      </w:r>
    </w:p>
    <w:p>
      <w:pPr>
        <w:pStyle w:val="5"/>
        <w:spacing w:before="0" w:beforeAutospacing="0" w:after="0" w:afterAutospacing="0" w:line="360" w:lineRule="auto"/>
        <w:rPr>
          <w:rFonts w:hint="default" w:ascii="宋体" w:hAnsi="宋体" w:eastAsia="宋体" w:cs="宋体"/>
          <w:color w:val="000000"/>
          <w:lang w:val="en-US" w:eastAsia="zh-CN"/>
        </w:rPr>
      </w:pPr>
      <w:r>
        <w:rPr>
          <w:rFonts w:hint="eastAsia" w:ascii="宋体" w:hAnsi="宋体" w:cs="宋体"/>
          <w:color w:val="000000"/>
          <w:lang w:val="en-US" w:eastAsia="zh-CN"/>
        </w:rPr>
        <w:t>二、关于债权</w:t>
      </w:r>
    </w:p>
    <w:p>
      <w:pPr>
        <w:pStyle w:val="5"/>
        <w:spacing w:before="0" w:beforeAutospacing="0" w:after="0" w:afterAutospacing="0" w:line="360" w:lineRule="auto"/>
        <w:rPr>
          <w:rFonts w:hint="eastAsia" w:ascii="宋体" w:hAnsi="宋体" w:cs="宋体" w:eastAsiaTheme="minorEastAsia"/>
          <w:color w:val="000000"/>
          <w:lang w:eastAsia="zh-CN"/>
        </w:rPr>
      </w:pPr>
      <w:r>
        <w:rPr>
          <w:rFonts w:hint="eastAsia" w:ascii="宋体" w:hAnsi="宋体" w:cs="宋体"/>
          <w:color w:val="000000"/>
          <w:lang w:val="en-US" w:eastAsia="zh-CN"/>
        </w:rPr>
        <w:t xml:space="preserve">1.  </w:t>
      </w:r>
      <w:r>
        <w:rPr>
          <w:rFonts w:hint="eastAsia" w:ascii="宋体" w:hAnsi="宋体" w:cs="宋体"/>
          <w:color w:val="000000"/>
        </w:rPr>
        <w:t>标的债权</w:t>
      </w:r>
      <w:r>
        <w:rPr>
          <w:rFonts w:hint="eastAsia" w:ascii="宋体" w:hAnsi="宋体" w:cs="宋体"/>
          <w:color w:val="000000"/>
          <w:lang w:val="en-US" w:eastAsia="zh-CN"/>
        </w:rPr>
        <w:t>未经生效法律文书确认，</w:t>
      </w:r>
      <w:r>
        <w:rPr>
          <w:rFonts w:hint="eastAsia" w:ascii="宋体" w:hAnsi="宋体" w:cs="宋体"/>
          <w:color w:val="000000"/>
        </w:rPr>
        <w:t>可能存在无效或被撤销的情形</w:t>
      </w:r>
      <w:r>
        <w:rPr>
          <w:rFonts w:hint="eastAsia" w:ascii="宋体" w:hAnsi="宋体" w:cs="宋体"/>
          <w:color w:val="000000"/>
          <w:lang w:eastAsia="zh-CN"/>
        </w:rPr>
        <w:t>。</w:t>
      </w:r>
    </w:p>
    <w:p>
      <w:pPr>
        <w:pStyle w:val="5"/>
        <w:spacing w:before="0" w:beforeAutospacing="0" w:after="0" w:afterAutospacing="0" w:line="360" w:lineRule="auto"/>
        <w:rPr>
          <w:rFonts w:hint="eastAsia" w:ascii="宋体" w:hAnsi="宋体" w:cs="宋体" w:eastAsiaTheme="minorEastAsia"/>
          <w:color w:val="000000"/>
          <w:lang w:eastAsia="zh-CN"/>
        </w:rPr>
      </w:pPr>
      <w:r>
        <w:rPr>
          <w:rFonts w:hint="eastAsia" w:ascii="宋体" w:hAnsi="宋体" w:cs="宋体"/>
          <w:color w:val="000000"/>
          <w:lang w:val="en-US" w:eastAsia="zh-CN"/>
        </w:rPr>
        <w:t xml:space="preserve">2.  </w:t>
      </w:r>
      <w:r>
        <w:rPr>
          <w:rFonts w:hint="eastAsia" w:ascii="宋体" w:hAnsi="宋体" w:cs="宋体"/>
          <w:color w:val="000000"/>
        </w:rPr>
        <w:t>标的债权在交易基准日后仍</w:t>
      </w:r>
      <w:r>
        <w:rPr>
          <w:rFonts w:hint="eastAsia" w:ascii="宋体" w:hAnsi="宋体" w:cs="宋体"/>
          <w:color w:val="000000"/>
          <w:lang w:val="en-US" w:eastAsia="zh-CN"/>
        </w:rPr>
        <w:t>可能</w:t>
      </w:r>
      <w:r>
        <w:rPr>
          <w:rFonts w:hint="eastAsia" w:ascii="宋体" w:hAnsi="宋体" w:cs="宋体"/>
          <w:color w:val="000000"/>
        </w:rPr>
        <w:t>会发生变化</w:t>
      </w:r>
      <w:r>
        <w:rPr>
          <w:rFonts w:hint="eastAsia" w:ascii="宋体" w:hAnsi="宋体" w:cs="宋体"/>
          <w:color w:val="000000"/>
          <w:lang w:eastAsia="zh-CN"/>
        </w:rPr>
        <w:t>。</w:t>
      </w:r>
    </w:p>
    <w:p>
      <w:pPr>
        <w:pStyle w:val="5"/>
        <w:spacing w:before="0" w:beforeAutospacing="0" w:after="0" w:afterAutospacing="0" w:line="360" w:lineRule="auto"/>
        <w:rPr>
          <w:rFonts w:hint="eastAsia" w:ascii="宋体" w:hAnsi="宋体" w:cs="宋体" w:eastAsiaTheme="minorEastAsia"/>
          <w:color w:val="000000"/>
          <w:lang w:eastAsia="zh-CN"/>
        </w:rPr>
      </w:pPr>
      <w:r>
        <w:rPr>
          <w:rFonts w:hint="eastAsia" w:ascii="宋体" w:hAnsi="宋体" w:cs="宋体"/>
          <w:color w:val="000000"/>
          <w:lang w:val="en-US" w:eastAsia="zh-CN"/>
        </w:rPr>
        <w:t xml:space="preserve">3.  </w:t>
      </w:r>
      <w:r>
        <w:rPr>
          <w:rFonts w:hint="eastAsia" w:ascii="宋体" w:hAnsi="宋体" w:cs="宋体"/>
          <w:color w:val="000000"/>
        </w:rPr>
        <w:t>债权证明文件</w:t>
      </w:r>
      <w:r>
        <w:rPr>
          <w:rFonts w:hint="eastAsia" w:ascii="宋体" w:hAnsi="宋体" w:cs="宋体"/>
          <w:color w:val="000000"/>
          <w:lang w:val="en-US" w:eastAsia="zh-CN"/>
        </w:rPr>
        <w:t>存在</w:t>
      </w:r>
      <w:r>
        <w:rPr>
          <w:rFonts w:hint="eastAsia" w:ascii="宋体" w:hAnsi="宋体" w:cs="宋体"/>
          <w:color w:val="000000"/>
        </w:rPr>
        <w:t>不完整等相关情形</w:t>
      </w:r>
      <w:r>
        <w:rPr>
          <w:rFonts w:hint="eastAsia" w:ascii="宋体" w:hAnsi="宋体" w:cs="宋体"/>
          <w:color w:val="000000"/>
          <w:lang w:eastAsia="zh-CN"/>
        </w:rPr>
        <w:t>。</w:t>
      </w:r>
    </w:p>
    <w:p>
      <w:pPr>
        <w:pStyle w:val="5"/>
        <w:spacing w:before="0" w:beforeAutospacing="0" w:after="0" w:afterAutospacing="0" w:line="360" w:lineRule="auto"/>
        <w:rPr>
          <w:rFonts w:hint="eastAsia" w:ascii="宋体" w:hAnsi="宋体" w:cs="宋体"/>
          <w:color w:val="000000"/>
        </w:rPr>
      </w:pPr>
    </w:p>
    <w:p>
      <w:pPr>
        <w:pStyle w:val="5"/>
        <w:numPr>
          <w:ilvl w:val="0"/>
          <w:numId w:val="0"/>
        </w:numPr>
        <w:spacing w:before="0" w:beforeAutospacing="0" w:after="0" w:afterAutospacing="0" w:line="360" w:lineRule="auto"/>
        <w:ind w:firstLine="480" w:firstLineChars="200"/>
        <w:rPr>
          <w:rFonts w:ascii="宋体" w:hAnsi="宋体" w:cs="宋体"/>
          <w:color w:val="000000"/>
        </w:rPr>
      </w:pPr>
      <w:r>
        <w:rPr>
          <w:rFonts w:hint="eastAsia" w:ascii="宋体" w:hAnsi="宋体" w:cs="宋体"/>
          <w:color w:val="000000"/>
          <w:lang w:val="en-US" w:eastAsia="zh-CN"/>
        </w:rPr>
        <w:t>转让方</w:t>
      </w:r>
      <w:r>
        <w:rPr>
          <w:rFonts w:ascii="宋体" w:hAnsi="宋体" w:cs="宋体"/>
          <w:color w:val="000000"/>
        </w:rPr>
        <w:t>在</w:t>
      </w:r>
      <w:r>
        <w:rPr>
          <w:rFonts w:hint="eastAsia" w:ascii="宋体" w:hAnsi="宋体" w:cs="宋体"/>
          <w:color w:val="000000"/>
          <w:lang w:val="en-US" w:eastAsia="zh-CN"/>
        </w:rPr>
        <w:t>确定出让</w:t>
      </w:r>
      <w:r>
        <w:rPr>
          <w:rFonts w:ascii="宋体" w:hAnsi="宋体" w:cs="宋体"/>
          <w:color w:val="000000"/>
        </w:rPr>
        <w:t>价格时，已充分考虑以上因素的影响</w:t>
      </w:r>
      <w:r>
        <w:rPr>
          <w:rFonts w:hint="eastAsia" w:ascii="宋体" w:hAnsi="宋体" w:cs="宋体"/>
          <w:color w:val="000000"/>
          <w:lang w:eastAsia="zh-CN"/>
        </w:rPr>
        <w:t>，</w:t>
      </w:r>
      <w:r>
        <w:rPr>
          <w:rFonts w:hint="eastAsia" w:ascii="宋体" w:hAnsi="宋体" w:cs="宋体"/>
          <w:color w:val="000000"/>
          <w:lang w:val="en-US" w:eastAsia="zh-CN"/>
        </w:rPr>
        <w:t>并将以上因素</w:t>
      </w:r>
      <w:r>
        <w:rPr>
          <w:rFonts w:ascii="宋体" w:hAnsi="宋体" w:cs="宋体"/>
          <w:color w:val="000000"/>
        </w:rPr>
        <w:t>充分告知</w:t>
      </w:r>
      <w:r>
        <w:rPr>
          <w:rFonts w:hint="eastAsia" w:ascii="宋体" w:hAnsi="宋体" w:cs="宋体"/>
          <w:color w:val="000000"/>
          <w:lang w:val="en-US" w:eastAsia="zh-CN"/>
        </w:rPr>
        <w:t>买受人</w:t>
      </w:r>
      <w:r>
        <w:rPr>
          <w:rFonts w:hint="eastAsia" w:ascii="宋体" w:hAnsi="宋体" w:cs="宋体"/>
          <w:color w:val="000000"/>
          <w:lang w:eastAsia="zh-CN"/>
        </w:rPr>
        <w:t>。</w:t>
      </w:r>
      <w:r>
        <w:rPr>
          <w:rFonts w:hint="eastAsia" w:ascii="宋体" w:hAnsi="宋体" w:cs="宋体"/>
          <w:color w:val="000000"/>
          <w:lang w:val="en-US" w:eastAsia="zh-CN"/>
        </w:rPr>
        <w:t>买受人也对本次交易项目进行了充分完全的法律、财务等多方面的尽职调查</w:t>
      </w:r>
      <w:r>
        <w:rPr>
          <w:rFonts w:hint="eastAsia" w:ascii="宋体" w:hAnsi="宋体" w:cs="宋体"/>
          <w:color w:val="000000"/>
          <w:lang w:eastAsia="zh-CN"/>
        </w:rPr>
        <w:t>。</w:t>
      </w:r>
      <w:r>
        <w:rPr>
          <w:rFonts w:hint="eastAsia" w:ascii="宋体" w:hAnsi="宋体" w:cs="宋体"/>
          <w:color w:val="000000"/>
          <w:lang w:val="en-US" w:eastAsia="zh-CN"/>
        </w:rPr>
        <w:t>买受人参与竞价并签署法律文件，</w:t>
      </w:r>
      <w:r>
        <w:rPr>
          <w:rFonts w:ascii="宋体" w:hAnsi="宋体" w:cs="宋体"/>
          <w:color w:val="000000"/>
        </w:rPr>
        <w:t>视为买受人接受上述信息</w:t>
      </w:r>
      <w:r>
        <w:rPr>
          <w:rFonts w:hint="eastAsia" w:ascii="宋体" w:hAnsi="宋体" w:cs="宋体"/>
          <w:color w:val="000000"/>
          <w:lang w:eastAsia="zh-CN"/>
        </w:rPr>
        <w:t>，</w:t>
      </w:r>
      <w:r>
        <w:rPr>
          <w:rFonts w:hint="eastAsia" w:ascii="宋体" w:hAnsi="宋体" w:cs="宋体"/>
          <w:color w:val="000000"/>
          <w:lang w:val="en-US" w:eastAsia="zh-CN"/>
        </w:rPr>
        <w:t>不得以此为由退回交易标的</w:t>
      </w:r>
      <w:r>
        <w:rPr>
          <w:rFonts w:ascii="宋体" w:hAnsi="宋体" w:cs="宋体"/>
          <w:color w:val="000000"/>
        </w:rPr>
        <w:t>。</w:t>
      </w:r>
    </w:p>
    <w:p>
      <w:pPr>
        <w:pStyle w:val="5"/>
        <w:spacing w:before="0" w:beforeAutospacing="0" w:after="0" w:afterAutospacing="0" w:line="360" w:lineRule="auto"/>
        <w:ind w:firstLine="482" w:firstLineChars="200"/>
        <w:jc w:val="left"/>
        <w:rPr>
          <w:rFonts w:ascii="宋体" w:hAnsi="宋体" w:cs="宋体"/>
          <w:color w:val="000000"/>
        </w:rPr>
      </w:pPr>
      <w:r>
        <w:rPr>
          <w:rFonts w:ascii="宋体" w:hAnsi="宋体" w:cs="宋体"/>
          <w:b/>
          <w:color w:val="000000"/>
          <w:u w:val="single"/>
        </w:rPr>
        <w:t>买受人阅读并理解以上内容，确认无异议后签字。</w:t>
      </w:r>
    </w:p>
    <w:p>
      <w:pPr>
        <w:pStyle w:val="5"/>
        <w:spacing w:before="0" w:beforeAutospacing="0" w:after="0" w:afterAutospacing="0" w:line="360" w:lineRule="auto"/>
        <w:jc w:val="left"/>
        <w:rPr>
          <w:rFonts w:ascii="宋体" w:hAnsi="宋体" w:cs="宋体"/>
          <w:color w:val="000000"/>
        </w:rPr>
      </w:pPr>
      <w:r>
        <w:rPr>
          <w:rFonts w:ascii="宋体" w:hAnsi="宋体" w:cs="宋体"/>
          <w:color w:val="000000"/>
        </w:rPr>
        <w:t> </w:t>
      </w:r>
    </w:p>
    <w:p>
      <w:pPr>
        <w:pStyle w:val="5"/>
        <w:spacing w:before="0" w:beforeAutospacing="0" w:after="0" w:afterAutospacing="0" w:line="360" w:lineRule="auto"/>
        <w:rPr>
          <w:rFonts w:ascii="宋体" w:hAnsi="宋体" w:cs="宋体"/>
          <w:color w:val="000000"/>
        </w:rPr>
      </w:pPr>
      <w:r>
        <w:rPr>
          <w:rFonts w:ascii="宋体" w:hAnsi="宋体" w:cs="宋体"/>
          <w:color w:val="000000"/>
        </w:rPr>
        <w:t>买受人：</w:t>
      </w:r>
    </w:p>
    <w:p>
      <w:pPr>
        <w:pStyle w:val="5"/>
        <w:spacing w:before="0" w:beforeAutospacing="0" w:after="0" w:afterAutospacing="0" w:line="360" w:lineRule="auto"/>
        <w:rPr>
          <w:rFonts w:ascii="宋体" w:hAnsi="宋体" w:cs="宋体"/>
          <w:color w:val="000000"/>
        </w:rPr>
      </w:pPr>
    </w:p>
    <w:p>
      <w:pPr>
        <w:pStyle w:val="5"/>
        <w:spacing w:before="0" w:beforeAutospacing="0" w:after="0" w:afterAutospacing="0" w:line="360" w:lineRule="auto"/>
        <w:rPr>
          <w:rFonts w:ascii="宋体" w:hAnsi="宋体" w:cs="宋体"/>
          <w:color w:val="000000"/>
        </w:rPr>
      </w:pPr>
      <w:r>
        <w:rPr>
          <w:rFonts w:ascii="宋体" w:hAnsi="宋体" w:cs="宋体"/>
          <w:color w:val="000000"/>
        </w:rPr>
        <w:t>    年    月    日</w:t>
      </w:r>
    </w:p>
    <w:sectPr>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imfang">
    <w:altName w:val="Segoe Print"/>
    <w:panose1 w:val="00000000000000000000"/>
    <w:charset w:val="00"/>
    <w:family w:val="auto"/>
    <w:pitch w:val="default"/>
    <w:sig w:usb0="00000000" w:usb1="00000000" w:usb2="00000000" w:usb3="00000000" w:csb0="00000000" w:csb1="00000000"/>
  </w:font>
  <w:font w:name="Msyh">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5B1020"/>
    <w:multiLevelType w:val="singleLevel"/>
    <w:tmpl w:val="0D5B1020"/>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trackRevisions w:val="1"/>
  <w:documentProtection w:enforcement="0"/>
  <w:defaultTabStop w:val="0"/>
  <w:displayHorizontalDrawingGridEvery w:val="1"/>
  <w:displayVerticalDrawingGridEvery w:val="1"/>
  <w:noPunctuationKerning w:val="1"/>
  <w:compat>
    <w:doNotExpandShiftReturn/>
    <w:doNotWrapTextWithPunct/>
    <w:doNotUseEastAsianBreakRules/>
    <w:useFELayout/>
    <w:doNotUseIndentAsNumberingTabStop/>
    <w:compatSetting w:name="compatibilityMode" w:uri="http://schemas.microsoft.com/office/word" w:val="15"/>
  </w:compat>
  <w:rsids>
    <w:rsidRoot w:val="00000000"/>
    <w:rsid w:val="02BD4C49"/>
    <w:rsid w:val="079C5D80"/>
    <w:rsid w:val="0E770BF4"/>
    <w:rsid w:val="20FC3563"/>
    <w:rsid w:val="246E0ABA"/>
    <w:rsid w:val="27DF6A8B"/>
    <w:rsid w:val="416D0E89"/>
    <w:rsid w:val="43453FEA"/>
    <w:rsid w:val="45F15CE8"/>
    <w:rsid w:val="46F06DBE"/>
    <w:rsid w:val="4C1858EA"/>
    <w:rsid w:val="4E597E24"/>
    <w:rsid w:val="685C3559"/>
    <w:rsid w:val="69A41D49"/>
    <w:rsid w:val="69B8757F"/>
    <w:rsid w:val="6C207128"/>
    <w:rsid w:val="7E02454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cs="Times New Roman" w:eastAsiaTheme="minorEastAsia"/>
      <w:sz w:val="24"/>
    </w:rPr>
  </w:style>
  <w:style w:type="paragraph" w:styleId="3">
    <w:name w:val="heading 1"/>
    <w:basedOn w:val="1"/>
    <w:next w:val="1"/>
    <w:qFormat/>
    <w:uiPriority w:val="9"/>
    <w:pPr>
      <w:keepLines/>
      <w:spacing w:before="280" w:beforeAutospacing="0" w:after="280" w:afterAutospacing="0"/>
      <w:jc w:val="center"/>
      <w:outlineLvl w:val="9"/>
    </w:pPr>
    <w:rPr>
      <w:b/>
      <w:color w:val="000000"/>
      <w:sz w:val="36"/>
    </w:rPr>
  </w:style>
  <w:style w:type="paragraph" w:styleId="2">
    <w:name w:val="heading 2"/>
    <w:basedOn w:val="1"/>
    <w:next w:val="1"/>
    <w:qFormat/>
    <w:uiPriority w:val="9"/>
    <w:pPr>
      <w:keepLines/>
      <w:spacing w:before="280" w:beforeAutospacing="0" w:after="280" w:afterAutospacing="0"/>
      <w:jc w:val="center"/>
      <w:outlineLvl w:val="0"/>
    </w:pPr>
    <w:rPr>
      <w:b/>
      <w:color w:val="000000"/>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annotation text"/>
    <w:basedOn w:val="1"/>
    <w:unhideWhenUsed/>
    <w:qFormat/>
    <w:uiPriority w:val="99"/>
    <w:pPr>
      <w:jc w:val="left"/>
    </w:pPr>
  </w:style>
  <w:style w:type="paragraph" w:styleId="5">
    <w:name w:val="Normal (Web)"/>
    <w:basedOn w:val="1"/>
    <w:qFormat/>
    <w:uiPriority w:val="99"/>
    <w:pPr>
      <w:spacing w:before="100" w:beforeAutospacing="1" w:after="100" w:afterAutospacing="1"/>
    </w:pPr>
    <w:rPr>
      <w:sz w:val="24"/>
    </w:rPr>
  </w:style>
  <w:style w:type="table" w:customStyle="1" w:styleId="8">
    <w:name w:val="Table Normal"/>
    <w:qFormat/>
    <w:uiPriority w:val="59"/>
    <w:tblPr>
      <w:tblCellMar>
        <w:top w:w="0" w:type="dxa"/>
        <w:left w:w="108" w:type="dxa"/>
        <w:bottom w:w="0" w:type="dxa"/>
        <w:right w:w="108" w:type="dxa"/>
      </w:tblCellMar>
    </w:tblPr>
  </w:style>
  <w:style w:type="paragraph" w:customStyle="1" w:styleId="9">
    <w:name w:val="font-fangsong *"/>
    <w:basedOn w:val="1"/>
    <w:qFormat/>
    <w:uiPriority w:val="0"/>
    <w:pPr>
      <w:spacing w:before="100" w:beforeAutospacing="1" w:after="100" w:afterAutospacing="1"/>
    </w:pPr>
    <w:rPr>
      <w:rFonts w:ascii="Simfang" w:hAnsi="Simfang" w:cs="Simfang"/>
      <w:sz w:val="24"/>
    </w:rPr>
  </w:style>
  <w:style w:type="paragraph" w:customStyle="1" w:styleId="10">
    <w:name w:val="font-song *"/>
    <w:basedOn w:val="1"/>
    <w:qFormat/>
    <w:uiPriority w:val="0"/>
    <w:pPr>
      <w:spacing w:before="100" w:beforeAutospacing="1" w:after="100" w:afterAutospacing="1"/>
    </w:pPr>
    <w:rPr>
      <w:rFonts w:ascii="宋体" w:hAnsi="宋体" w:cs="宋体"/>
      <w:sz w:val="24"/>
    </w:rPr>
  </w:style>
  <w:style w:type="paragraph" w:customStyle="1" w:styleId="11">
    <w:name w:val="font-yahei *"/>
    <w:basedOn w:val="1"/>
    <w:qFormat/>
    <w:uiPriority w:val="0"/>
    <w:pPr>
      <w:spacing w:before="100" w:beforeAutospacing="1" w:after="100" w:afterAutospacing="1"/>
    </w:pPr>
    <w:rPr>
      <w:rFonts w:ascii="Msyh" w:hAnsi="Msyh" w:cs="Msyh"/>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Min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ine">
      <a:majorFont>
        <a:latin typeface="宋体"/>
        <a:ea typeface="宋体"/>
        <a:cs typeface="宋体"/>
      </a:majorFont>
      <a:minorFont>
        <a:latin typeface="宋体"/>
        <a:ea typeface="宋体"/>
        <a:cs typeface="宋体"/>
      </a:minorFont>
    </a:fontScheme>
    <a:fmtScheme name="Mine">
      <a:fillStyleLst>
        <a:solidFill>
          <a:schemeClr val="phClr"/>
        </a:solidFill>
        <a:solidFill>
          <a:schemeClr val="phClr"/>
        </a:solidFill>
        <a:solidFill>
          <a:schemeClr val="phClr"/>
        </a:solidFill>
      </a:fillStyleLst>
      <a:lnStyleLst>
        <a:ln>
          <a:solidFill>
            <a:schemeClr val="phClr"/>
          </a:solidFill>
        </a:ln>
        <a:ln>
          <a:solidFill>
            <a:schemeClr val="phClr"/>
          </a:solidFill>
        </a:ln>
        <a:ln>
          <a:solidFill>
            <a:schemeClr val="phClr"/>
          </a:solidFill>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749</Words>
  <Characters>759</Characters>
  <TotalTime>16</TotalTime>
  <ScaleCrop>false</ScaleCrop>
  <LinksUpToDate>false</LinksUpToDate>
  <CharactersWithSpaces>778</CharactersWithSpaces>
  <Application>WPS Office_11.8.0.16981_F1E327BC-269C-435d-A152-05C5408002CA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2025-05-22T03:18:00Z</dcterms:created>
  <dc:creator>86130</dc:creator>
  <cp:lastModifiedBy>马凯莉</cp:lastModifiedBy>
  <dcterms:modified xsi:type="dcterms:W3CDTF">2025-07-01T01:44:55Z</dcterms:modified>
  <dc:title>房产不利因素重要信息提示</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eyJoZGlkIjoiYjJkY2Q5MjhkYWFlMjZiOGRkNjRmOTBmM2MxOTZlYzIiLCJ1c2VySWQiOiIzMjU5MjE0MjgifQ==</vt:lpwstr>
  </property>
  <property fmtid="{D5CDD505-2E9C-101B-9397-08002B2CF9AE}" pid="3" name="KSOProductBuildVer">
    <vt:lpwstr>2052-11.8.0.16981</vt:lpwstr>
  </property>
  <property fmtid="{D5CDD505-2E9C-101B-9397-08002B2CF9AE}" pid="4" name="ICV">
    <vt:lpwstr>4B284243CE6646929EA2F3511F48F76D</vt:lpwstr>
  </property>
</Properties>
</file>